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DC" w:rsidRPr="007110DC" w:rsidRDefault="00F564ED" w:rsidP="007110DC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90701A" w:rsidRPr="007110DC">
        <w:rPr>
          <w:rFonts w:asciiTheme="minorHAnsi" w:hAnsiTheme="minorHAnsi" w:cstheme="minorHAnsi"/>
          <w:b/>
          <w:sz w:val="24"/>
          <w:szCs w:val="24"/>
        </w:rPr>
        <w:t>nexa 4</w:t>
      </w:r>
      <w:r>
        <w:rPr>
          <w:rFonts w:asciiTheme="minorHAnsi" w:hAnsiTheme="minorHAnsi" w:cstheme="minorHAnsi"/>
          <w:b/>
          <w:sz w:val="24"/>
          <w:szCs w:val="24"/>
        </w:rPr>
        <w:t xml:space="preserve">- Masura </w:t>
      </w:r>
      <w:r w:rsidR="007110DC" w:rsidRPr="007110DC">
        <w:rPr>
          <w:rFonts w:asciiTheme="minorHAnsi" w:hAnsiTheme="minorHAnsi" w:cstheme="minorHAnsi"/>
          <w:b/>
          <w:sz w:val="24"/>
          <w:szCs w:val="24"/>
        </w:rPr>
        <w:t>6.3 Dezvoltarea satelor</w:t>
      </w:r>
    </w:p>
    <w:p w:rsidR="0090701A" w:rsidRPr="007110DC" w:rsidRDefault="0090701A" w:rsidP="0090701A">
      <w:pPr>
        <w:spacing w:line="240" w:lineRule="auto"/>
        <w:jc w:val="center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</w:p>
    <w:p w:rsidR="0090701A" w:rsidRPr="00CA4D8E" w:rsidRDefault="0090701A" w:rsidP="0090701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A4D8E">
        <w:rPr>
          <w:rFonts w:asciiTheme="minorHAnsi" w:hAnsiTheme="minorHAnsi" w:cstheme="minorHAnsi"/>
          <w:b/>
          <w:sz w:val="24"/>
          <w:szCs w:val="24"/>
        </w:rPr>
        <w:t xml:space="preserve">Recomandări privind elaborarea analizei cost-beneficiu 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Prin studiul de fezabilitate, proiectul trebuie să demonstreze oportunitatea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necesitatea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socio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-economică 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. Acest lucru se realizează efectuând analiza cost-beneficiu. 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În cadrul analizei se vor descrie metodele ce conduc la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obţinerea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rezultatelor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se vor prezenta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modalităţile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de estimare a impacturilor posibile ale implementării proiectului, precum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surselor de informare folosite.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Când analiza impacturilor posibile ale unui proiect (economice, sociale si de mediu) va identifica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efecte negative, se vor prezenta măsurile care duc la minimizarea lor. 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Conţinutul</w:t>
      </w:r>
      <w:proofErr w:type="spellEnd"/>
      <w:r w:rsidRPr="007110DC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analizei cost-beneficiu:</w:t>
      </w:r>
    </w:p>
    <w:p w:rsidR="0090701A" w:rsidRPr="007110DC" w:rsidRDefault="0090701A" w:rsidP="009070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Identificarea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investiţiei</w:t>
      </w:r>
      <w:proofErr w:type="spellEnd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, definirea obiectivelor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şi</w:t>
      </w:r>
      <w:proofErr w:type="spellEnd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 specificarea perioadei de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referinţă</w:t>
      </w:r>
      <w:proofErr w:type="spellEnd"/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Definirea obiectivelor: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Beneficiarul trebuie să indice care dintre </w:t>
      </w:r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obiectivele </w:t>
      </w:r>
      <w:r w:rsidRPr="007110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specifice </w:t>
      </w:r>
      <w:r w:rsidRPr="007110DC">
        <w:rPr>
          <w:rFonts w:asciiTheme="minorHAnsi" w:hAnsiTheme="minorHAnsi" w:cstheme="minorHAnsi"/>
          <w:sz w:val="24"/>
          <w:szCs w:val="24"/>
        </w:rPr>
        <w:t>Măsura</w:t>
      </w:r>
      <w:r w:rsidR="00CA4D8E">
        <w:rPr>
          <w:rFonts w:asciiTheme="minorHAnsi" w:hAnsiTheme="minorHAnsi" w:cstheme="minorHAnsi"/>
          <w:sz w:val="24"/>
          <w:szCs w:val="24"/>
        </w:rPr>
        <w:t xml:space="preserve"> 6.3</w:t>
      </w:r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se realizează prin proiect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modul în care implementarea acestuia duce la atingerea acestor obiective,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să demonstreze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oportunitea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proiectului.</w:t>
      </w:r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color w:val="000000"/>
          <w:sz w:val="24"/>
          <w:szCs w:val="24"/>
        </w:rPr>
        <w:t>Obiectivele luate în considerare trebuie să includă componente</w:t>
      </w:r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sociale </w:t>
      </w:r>
      <w:proofErr w:type="spellStart"/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economice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conectate cu proiectul, nu doar indicatori fizici,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trebuie să existe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indicaţii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asupra modului în care se va măsura nivelul lor de realizare</w:t>
      </w:r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cât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surselor statistice folosite.</w:t>
      </w:r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În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care implică angajamente ale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potenţialilor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utilizatori,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aceştia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trebuie să cunoască tarifele previzionate pentru utilizare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folosite în analiza cost-beneficiu.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Tarifele previzionate nu se pot modifica decât justificat, conform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legislaţiei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în vigoare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trebuie să fie similare celor practicate de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instituţiile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publice cu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acelaşi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obiect de activitate, cu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nominală 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la care se raportează tarifele. </w:t>
      </w:r>
    </w:p>
    <w:p w:rsidR="0090701A" w:rsidRPr="007110DC" w:rsidRDefault="0090701A" w:rsidP="0090701A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Analiza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opţiunilor</w:t>
      </w:r>
      <w:proofErr w:type="spellEnd"/>
    </w:p>
    <w:p w:rsidR="0090701A" w:rsidRPr="007110DC" w:rsidRDefault="0090701A" w:rsidP="0090701A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Beneficiarul trebuie sa demonstreze că alegerea scenariului recomandat este optimă din punct de vedere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socio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-economic. Se vor analiza cel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puţin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două variante: varianta zero (varianta fără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investiţie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varianta cu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investiţie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0701A" w:rsidRPr="007110DC" w:rsidRDefault="0090701A" w:rsidP="0090701A">
      <w:pPr>
        <w:pStyle w:val="ListParagraph"/>
        <w:spacing w:line="240" w:lineRule="auto"/>
        <w:ind w:left="40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0701A" w:rsidRPr="007110DC" w:rsidRDefault="0090701A" w:rsidP="009070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Analiza financiară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Analiza financiară se realizează din punctul de vedere al beneficiarului.  Dacă beneficiarul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operatorul nu sunt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aceeaşi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entitate, trebuie luată în considerare o analiză financiară consolidată (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ca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 cum ar fi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</w:rPr>
        <w:t>aceeaşi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 entitate)</w:t>
      </w:r>
      <w:r w:rsidRPr="007110DC">
        <w:rPr>
          <w:rFonts w:asciiTheme="minorHAnsi" w:hAnsiTheme="minorHAnsi" w:cstheme="minorHAnsi"/>
          <w:i/>
          <w:sz w:val="24"/>
          <w:szCs w:val="24"/>
        </w:rPr>
        <w:t xml:space="preserve">; 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>rata de actualizare recomandată este de 5% pentru RON</w:t>
      </w:r>
      <w:r w:rsidRPr="007110DC">
        <w:rPr>
          <w:rFonts w:asciiTheme="minorHAnsi" w:hAnsiTheme="minorHAnsi" w:cstheme="minorHAnsi"/>
          <w:b/>
          <w:sz w:val="24"/>
          <w:szCs w:val="24"/>
        </w:rPr>
        <w:t>).</w:t>
      </w:r>
    </w:p>
    <w:p w:rsidR="0090701A" w:rsidRPr="007110DC" w:rsidRDefault="0090701A" w:rsidP="0090701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sz w:val="24"/>
          <w:szCs w:val="24"/>
          <w:lang w:eastAsia="en-US"/>
        </w:rPr>
        <w:t>Analiza financiară va evalua:</w:t>
      </w:r>
    </w:p>
    <w:p w:rsidR="0090701A" w:rsidRPr="007110DC" w:rsidRDefault="0090701A" w:rsidP="0090701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lastRenderedPageBreak/>
        <w:t xml:space="preserve">Profitabilitatea financiară a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>investiţiei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în proiect determinată cu indicatorii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VAN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(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valoarea actualizata neta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)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RIR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(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rata internă de rentabilitate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). Total valoare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investiţie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include totalul costurilor eligibile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ne-eligibile din Devizul de cheltuieli.</w:t>
      </w:r>
    </w:p>
    <w:p w:rsidR="0090701A" w:rsidRPr="007110DC" w:rsidRDefault="0090701A" w:rsidP="0090701A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Pentru ca un proiect să necesite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intervenţie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financiară nerambursabilă,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VAN trebuie să fie negativ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, iar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RIR mai mică decât rata de actualizare.</w:t>
      </w:r>
    </w:p>
    <w:p w:rsidR="0090701A" w:rsidRPr="007110DC" w:rsidRDefault="0090701A" w:rsidP="0090701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>Durabilitatea financiară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a proiectului este evaluată prin verificarea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fluxului net de numerar cumulat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. Acesta trebuie să fie pozitiv în fiecare an al perioadei de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referinţă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</w:p>
    <w:p w:rsidR="0090701A" w:rsidRPr="007110DC" w:rsidRDefault="0090701A" w:rsidP="0090701A">
      <w:pPr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Determinarea </w:t>
      </w:r>
      <w:proofErr w:type="spellStart"/>
      <w:r w:rsidRPr="007110DC">
        <w:rPr>
          <w:rFonts w:asciiTheme="minorHAnsi" w:hAnsiTheme="minorHAnsi" w:cstheme="minorHAnsi"/>
          <w:b/>
          <w:bCs/>
          <w:sz w:val="24"/>
          <w:szCs w:val="24"/>
        </w:rPr>
        <w:t>intensitatii</w:t>
      </w:r>
      <w:proofErr w:type="spellEnd"/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 sprijinului public pentru proiectele de apa/apa uzata, generatoare de venit (in baza articolului nr. 61 din Regulamentul 1303 / 2013)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>Pasul 1: determinarea VAN – valorii actualizate nete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sz w:val="24"/>
          <w:szCs w:val="24"/>
        </w:rPr>
        <w:t>Reprezinta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suma veniturilor nete actualizate (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plati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– cheltuieli) pe 5 ani consecutivi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implementarea proiectului, conform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legislatiei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in vigoare.</w:t>
      </w:r>
    </w:p>
    <w:p w:rsidR="0090701A" w:rsidRPr="007110DC" w:rsidRDefault="0090701A" w:rsidP="0090701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Pasul 2 – determinarea VI - valorii </w:t>
      </w:r>
      <w:proofErr w:type="spellStart"/>
      <w:r w:rsidRPr="007110DC">
        <w:rPr>
          <w:rFonts w:asciiTheme="minorHAnsi" w:hAnsiTheme="minorHAnsi" w:cstheme="minorHAnsi"/>
          <w:b/>
          <w:bCs/>
          <w:sz w:val="24"/>
          <w:szCs w:val="24"/>
        </w:rPr>
        <w:t>investitiei</w:t>
      </w:r>
      <w:proofErr w:type="spellEnd"/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sz w:val="24"/>
          <w:szCs w:val="24"/>
        </w:rPr>
        <w:t>Reprezinta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totalul cheltuielilor eligibile si neeligibile ale proiectului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Pasul 3 – Aplicarea formulei de calcul: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>Intensitatea sprijinului public (%) = 100 – ((VAN / VI) x 100)</w:t>
      </w:r>
    </w:p>
    <w:p w:rsidR="0090701A" w:rsidRPr="007110DC" w:rsidRDefault="0090701A" w:rsidP="0090701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Exemplu:</w:t>
      </w:r>
    </w:p>
    <w:p w:rsidR="0090701A" w:rsidRPr="007110DC" w:rsidRDefault="0090701A" w:rsidP="009070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VAN</w:t>
      </w:r>
      <w:r w:rsidRPr="007110DC">
        <w:rPr>
          <w:rFonts w:asciiTheme="minorHAnsi" w:hAnsiTheme="minorHAnsi" w:cstheme="minorHAnsi"/>
          <w:sz w:val="24"/>
          <w:szCs w:val="24"/>
        </w:rPr>
        <w:t xml:space="preserve"> = 50.000 euro</w:t>
      </w:r>
    </w:p>
    <w:p w:rsidR="0090701A" w:rsidRPr="007110DC" w:rsidRDefault="0090701A" w:rsidP="009070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VI </w:t>
      </w:r>
      <w:r w:rsidRPr="007110DC">
        <w:rPr>
          <w:rFonts w:asciiTheme="minorHAnsi" w:hAnsiTheme="minorHAnsi" w:cstheme="minorHAnsi"/>
          <w:sz w:val="24"/>
          <w:szCs w:val="24"/>
        </w:rPr>
        <w:t>= 800.000 euro</w:t>
      </w:r>
    </w:p>
    <w:p w:rsidR="0090701A" w:rsidRPr="007110DC" w:rsidRDefault="0090701A" w:rsidP="0090701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Intensitatea sprijinul public (%)</w:t>
      </w:r>
      <w:r w:rsidRPr="007110DC">
        <w:rPr>
          <w:rFonts w:asciiTheme="minorHAnsi" w:hAnsiTheme="minorHAnsi" w:cstheme="minorHAnsi"/>
          <w:sz w:val="24"/>
          <w:szCs w:val="24"/>
        </w:rPr>
        <w:t xml:space="preserve">  = 100 – ((50.000/800.000) x 100)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= 100 – (0.0625x100)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= 100 – 6.25 </w:t>
      </w:r>
    </w:p>
    <w:p w:rsidR="0090701A" w:rsidRPr="00CA4D8E" w:rsidRDefault="0090701A" w:rsidP="00CA4D8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7110DC">
        <w:rPr>
          <w:rFonts w:asciiTheme="minorHAnsi" w:hAnsiTheme="minorHAnsi" w:cstheme="minorHAnsi"/>
          <w:b/>
          <w:sz w:val="24"/>
          <w:szCs w:val="24"/>
        </w:rPr>
        <w:t>= 93.75%</w:t>
      </w:r>
      <w:bookmarkStart w:id="0" w:name="_GoBack"/>
      <w:bookmarkEnd w:id="0"/>
    </w:p>
    <w:p w:rsidR="0090701A" w:rsidRPr="007110DC" w:rsidRDefault="0090701A" w:rsidP="0090701A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Analiza de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senzitivitate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în cadrul căreia vor fi identificate 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>variabilele critice</w:t>
      </w:r>
      <w:r w:rsidRPr="007110DC">
        <w:rPr>
          <w:rFonts w:asciiTheme="minorHAnsi" w:hAnsiTheme="minorHAnsi" w:cstheme="minorHAnsi"/>
          <w:sz w:val="24"/>
          <w:szCs w:val="24"/>
        </w:rPr>
        <w:t xml:space="preserve">; se vor analiza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performanţele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financiare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economice ale proiectului atunci când valorile acestora variază, în plus sau în minus.  </w:t>
      </w:r>
    </w:p>
    <w:p w:rsidR="0090701A" w:rsidRPr="007110DC" w:rsidRDefault="0090701A" w:rsidP="0090701A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Analiza de risc</w:t>
      </w:r>
      <w:r w:rsidRPr="007110DC">
        <w:rPr>
          <w:rFonts w:asciiTheme="minorHAnsi" w:hAnsiTheme="minorHAnsi" w:cstheme="minorHAnsi"/>
          <w:sz w:val="24"/>
          <w:szCs w:val="24"/>
        </w:rPr>
        <w:t xml:space="preserve"> Se va efectua o analiză de risc calitativă (evaluare calitativă a riscurilor prezentată narativ), pentru variabilele critice identificate în analiza de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senzitivitate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, precum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pentru celelalte riscuri care pot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aparea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pe parcursul implementării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(tehnice, de mediu, financiare,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instituţionale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legale)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măsuri de diminuare a acestora. </w:t>
      </w:r>
    </w:p>
    <w:p w:rsidR="009937CB" w:rsidRPr="007110DC" w:rsidRDefault="009937CB">
      <w:pPr>
        <w:rPr>
          <w:rFonts w:asciiTheme="minorHAnsi" w:hAnsiTheme="minorHAnsi" w:cstheme="minorHAnsi"/>
          <w:sz w:val="24"/>
          <w:szCs w:val="24"/>
        </w:rPr>
      </w:pPr>
    </w:p>
    <w:sectPr w:rsidR="009937CB" w:rsidRPr="007110DC" w:rsidSect="00622D3A">
      <w:headerReference w:type="default" r:id="rId7"/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08" w:rsidRDefault="00E06708" w:rsidP="00EE4AE4">
      <w:pPr>
        <w:spacing w:after="0" w:line="240" w:lineRule="auto"/>
      </w:pPr>
      <w:r>
        <w:separator/>
      </w:r>
    </w:p>
  </w:endnote>
  <w:endnote w:type="continuationSeparator" w:id="0">
    <w:p w:rsidR="00E06708" w:rsidRDefault="00E06708" w:rsidP="00EE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69" w:rsidRDefault="000906EC">
    <w:pPr>
      <w:pStyle w:val="Footer"/>
      <w:jc w:val="center"/>
    </w:pPr>
    <w:r>
      <w:fldChar w:fldCharType="begin"/>
    </w:r>
    <w:r w:rsidR="0090701A">
      <w:instrText xml:space="preserve"> PAGE   \* MERGEFORMAT </w:instrText>
    </w:r>
    <w:r>
      <w:fldChar w:fldCharType="separate"/>
    </w:r>
    <w:r w:rsidR="00CA4D8E">
      <w:rPr>
        <w:noProof/>
      </w:rPr>
      <w:t>2</w:t>
    </w:r>
    <w:r>
      <w:fldChar w:fldCharType="end"/>
    </w:r>
  </w:p>
  <w:p w:rsidR="00326E69" w:rsidRDefault="00CA4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08" w:rsidRDefault="00E06708" w:rsidP="00EE4AE4">
      <w:pPr>
        <w:spacing w:after="0" w:line="240" w:lineRule="auto"/>
      </w:pPr>
      <w:r>
        <w:separator/>
      </w:r>
    </w:p>
  </w:footnote>
  <w:footnote w:type="continuationSeparator" w:id="0">
    <w:p w:rsidR="00E06708" w:rsidRDefault="00E06708" w:rsidP="00EE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DC" w:rsidRPr="007110DC" w:rsidRDefault="007110DC" w:rsidP="007110DC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sz w:val="16"/>
        <w:szCs w:val="16"/>
        <w:lang w:val="it-IT"/>
      </w:rPr>
    </w:pPr>
    <w:r w:rsidRPr="007110DC">
      <w:rPr>
        <w:rFonts w:cs="Calibr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1" name="Picture 2" descr="Description: Description: 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10DC">
      <w:rPr>
        <w:rFonts w:cs="Calibri"/>
        <w:b/>
        <w:sz w:val="16"/>
        <w:szCs w:val="16"/>
        <w:lang w:val="it-IT"/>
      </w:rPr>
      <w:t xml:space="preserve">  Asociatia Microregiunea Tara Hategului - Tinutul Padurenilor GAL   </w:t>
    </w:r>
    <w:r w:rsidRPr="007110DC">
      <w:rPr>
        <w:rFonts w:cs="Calibri"/>
        <w:b/>
        <w:noProof/>
        <w:sz w:val="16"/>
        <w:szCs w:val="16"/>
      </w:rPr>
      <w:drawing>
        <wp:inline distT="0" distB="0" distL="0" distR="0">
          <wp:extent cx="426720" cy="480060"/>
          <wp:effectExtent l="19050" t="0" r="0" b="0"/>
          <wp:docPr id="2" name="Picture 1" descr="Description: Description: 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0DC" w:rsidRPr="007110DC" w:rsidRDefault="007110DC" w:rsidP="007110DC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sz w:val="16"/>
        <w:szCs w:val="16"/>
      </w:rPr>
    </w:pPr>
    <w:r w:rsidRPr="007110DC">
      <w:rPr>
        <w:rFonts w:cs="Calibri"/>
        <w:sz w:val="16"/>
        <w:szCs w:val="16"/>
      </w:rPr>
      <w:t>tel/fax 0354 411 150, email:</w:t>
    </w:r>
    <w:hyperlink r:id="rId3" w:history="1">
      <w:r w:rsidRPr="007110DC">
        <w:rPr>
          <w:rFonts w:cs="Calibri"/>
          <w:b/>
          <w:bCs/>
          <w:color w:val="333399"/>
          <w:sz w:val="16"/>
          <w:szCs w:val="16"/>
          <w:u w:val="single"/>
        </w:rPr>
        <w:t>padurenihd.leader@gmail.com</w:t>
      </w:r>
    </w:hyperlink>
  </w:p>
  <w:p w:rsidR="007110DC" w:rsidRDefault="00711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01A"/>
    <w:rsid w:val="000906EC"/>
    <w:rsid w:val="00435D5C"/>
    <w:rsid w:val="00622D3A"/>
    <w:rsid w:val="007110DC"/>
    <w:rsid w:val="00783675"/>
    <w:rsid w:val="0090701A"/>
    <w:rsid w:val="009937CB"/>
    <w:rsid w:val="00BB3501"/>
    <w:rsid w:val="00CA4D8E"/>
    <w:rsid w:val="00E06708"/>
    <w:rsid w:val="00EE4AE4"/>
    <w:rsid w:val="00F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0CFF-3C97-4F0C-8E46-64D4FCFC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1A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1A"/>
    <w:rPr>
      <w:rFonts w:ascii="Calibri" w:eastAsia="Times New Roman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711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DC"/>
    <w:rPr>
      <w:rFonts w:ascii="Calibri" w:eastAsia="Times New Roman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DC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Sorina</cp:lastModifiedBy>
  <cp:revision>6</cp:revision>
  <dcterms:created xsi:type="dcterms:W3CDTF">2017-06-01T10:30:00Z</dcterms:created>
  <dcterms:modified xsi:type="dcterms:W3CDTF">2019-03-06T13:02:00Z</dcterms:modified>
</cp:coreProperties>
</file>