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37" w:rsidRDefault="00F81237" w:rsidP="00F81237">
      <w:pPr>
        <w:spacing w:after="0" w:line="240" w:lineRule="auto"/>
        <w:jc w:val="center"/>
      </w:pPr>
      <w:r>
        <w:t xml:space="preserve">GHID DE </w:t>
      </w:r>
      <w:proofErr w:type="gramStart"/>
      <w:r>
        <w:t xml:space="preserve">IMPLEMENTARE  </w:t>
      </w:r>
      <w:r w:rsidRPr="00A56467">
        <w:rPr>
          <w:b/>
          <w:color w:val="FF0000"/>
        </w:rPr>
        <w:t>SUBMĂSURA</w:t>
      </w:r>
      <w:proofErr w:type="gramEnd"/>
      <w:r w:rsidRPr="00A56467">
        <w:rPr>
          <w:b/>
          <w:color w:val="FF0000"/>
        </w:rPr>
        <w:t xml:space="preserve"> 19.2  </w:t>
      </w:r>
      <w:r>
        <w:t>”SPRIJIN PENTRU IMPLEMENTAREA ACȚIUNILOR ÎN CADRUL STRATEGIEI DE DEZVOLTARE LOCALĂ”</w:t>
      </w:r>
    </w:p>
    <w:p w:rsidR="00F81237" w:rsidRDefault="00F81237" w:rsidP="00F81237">
      <w:pPr>
        <w:spacing w:line="240" w:lineRule="auto"/>
        <w:rPr>
          <w:b/>
        </w:rPr>
      </w:pPr>
    </w:p>
    <w:p w:rsidR="000D33E8" w:rsidRPr="00F81237" w:rsidRDefault="000D33E8" w:rsidP="00F81237">
      <w:pPr>
        <w:spacing w:line="240" w:lineRule="auto"/>
        <w:rPr>
          <w:b/>
        </w:rPr>
      </w:pPr>
      <w:proofErr w:type="gramStart"/>
      <w:r w:rsidRPr="00F81237">
        <w:rPr>
          <w:b/>
        </w:rPr>
        <w:t>2.3  TIPURI</w:t>
      </w:r>
      <w:proofErr w:type="gramEnd"/>
      <w:r w:rsidRPr="00F81237">
        <w:rPr>
          <w:b/>
        </w:rPr>
        <w:t xml:space="preserve"> DE CHELTUIELI ELIGIBILE ȘI NEELIGIBILE </w:t>
      </w:r>
    </w:p>
    <w:p w:rsidR="000D33E8" w:rsidRPr="00F81237" w:rsidRDefault="000D33E8" w:rsidP="00F81237">
      <w:pPr>
        <w:spacing w:line="240" w:lineRule="auto"/>
        <w:rPr>
          <w:b/>
          <w:u w:val="single"/>
        </w:rPr>
      </w:pPr>
      <w:r>
        <w:t xml:space="preserve"> </w:t>
      </w:r>
      <w:r w:rsidRPr="00F81237">
        <w:rPr>
          <w:b/>
          <w:u w:val="single"/>
        </w:rPr>
        <w:t xml:space="preserve">CHELTUIELI ELIGIBILE </w:t>
      </w:r>
    </w:p>
    <w:p w:rsidR="000D33E8" w:rsidRPr="00F81237" w:rsidRDefault="000D33E8" w:rsidP="00F81237">
      <w:pPr>
        <w:spacing w:line="240" w:lineRule="auto"/>
        <w:rPr>
          <w:b/>
        </w:rPr>
      </w:pPr>
      <w:r>
        <w:t xml:space="preserve"> </w:t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cheltuielile</w:t>
      </w:r>
      <w:proofErr w:type="spellEnd"/>
      <w:r>
        <w:t xml:space="preserve">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neeligibile</w:t>
      </w:r>
      <w:proofErr w:type="spellEnd"/>
      <w:r>
        <w:t>.</w:t>
      </w:r>
      <w:proofErr w:type="gramEnd"/>
      <w:r>
        <w:t xml:space="preserve"> </w:t>
      </w:r>
      <w:proofErr w:type="spellStart"/>
      <w:r w:rsidRPr="00F81237">
        <w:rPr>
          <w:b/>
          <w:color w:val="FF0000"/>
        </w:rPr>
        <w:t>Finanțarea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proofErr w:type="gramStart"/>
      <w:r w:rsidRPr="00F81237">
        <w:rPr>
          <w:b/>
          <w:color w:val="FF0000"/>
        </w:rPr>
        <w:t>va</w:t>
      </w:r>
      <w:proofErr w:type="spellEnd"/>
      <w:proofErr w:type="gram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fi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acordată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doar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pentru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rambursarea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cheltuielilor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eligibile</w:t>
      </w:r>
      <w:proofErr w:type="spellEnd"/>
      <w:r w:rsidRPr="00F81237">
        <w:rPr>
          <w:b/>
          <w:color w:val="FF0000"/>
        </w:rPr>
        <w:t xml:space="preserve">, </w:t>
      </w:r>
      <w:r w:rsidRPr="00F81237">
        <w:rPr>
          <w:b/>
        </w:rPr>
        <w:t xml:space="preserve">cu o </w:t>
      </w:r>
      <w:proofErr w:type="spellStart"/>
      <w:r w:rsidRPr="00F81237">
        <w:rPr>
          <w:b/>
        </w:rPr>
        <w:t>intensitate</w:t>
      </w:r>
      <w:proofErr w:type="spellEnd"/>
      <w:r w:rsidRPr="00F81237">
        <w:rPr>
          <w:b/>
        </w:rPr>
        <w:t xml:space="preserve"> a </w:t>
      </w:r>
      <w:proofErr w:type="spellStart"/>
      <w:r w:rsidRPr="00F81237">
        <w:rPr>
          <w:b/>
        </w:rPr>
        <w:t>sprijinului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stabilită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în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conformitate</w:t>
      </w:r>
      <w:proofErr w:type="spellEnd"/>
      <w:r w:rsidRPr="00F81237">
        <w:rPr>
          <w:b/>
        </w:rPr>
        <w:t xml:space="preserve"> cu </w:t>
      </w:r>
      <w:proofErr w:type="spellStart"/>
      <w:r w:rsidRPr="00F81237">
        <w:rPr>
          <w:b/>
        </w:rPr>
        <w:t>fișa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măsurii</w:t>
      </w:r>
      <w:proofErr w:type="spellEnd"/>
      <w:r w:rsidRPr="00F81237">
        <w:rPr>
          <w:b/>
        </w:rPr>
        <w:t xml:space="preserve"> din SDL </w:t>
      </w:r>
      <w:proofErr w:type="spellStart"/>
      <w:r w:rsidRPr="00F81237">
        <w:rPr>
          <w:b/>
        </w:rPr>
        <w:t>aprobată</w:t>
      </w:r>
      <w:proofErr w:type="spellEnd"/>
      <w:r w:rsidRPr="00F81237">
        <w:rPr>
          <w:b/>
        </w:rPr>
        <w:t xml:space="preserve"> de </w:t>
      </w:r>
      <w:proofErr w:type="spellStart"/>
      <w:r w:rsidRPr="00F81237">
        <w:rPr>
          <w:b/>
        </w:rPr>
        <w:t>către</w:t>
      </w:r>
      <w:proofErr w:type="spellEnd"/>
      <w:r w:rsidRPr="00F81237">
        <w:rPr>
          <w:b/>
        </w:rPr>
        <w:t xml:space="preserve"> AM PNDR, </w:t>
      </w:r>
      <w:proofErr w:type="spellStart"/>
      <w:r w:rsidRPr="00F81237">
        <w:rPr>
          <w:b/>
        </w:rPr>
        <w:t>în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limita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valorii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maxime</w:t>
      </w:r>
      <w:proofErr w:type="spellEnd"/>
      <w:r w:rsidRPr="00F81237">
        <w:rPr>
          <w:b/>
        </w:rPr>
        <w:t xml:space="preserve"> a </w:t>
      </w:r>
      <w:proofErr w:type="spellStart"/>
      <w:r w:rsidRPr="00F81237">
        <w:rPr>
          <w:b/>
        </w:rPr>
        <w:t>sprijinului</w:t>
      </w:r>
      <w:proofErr w:type="spellEnd"/>
      <w:r w:rsidRPr="00F81237">
        <w:rPr>
          <w:b/>
        </w:rPr>
        <w:t xml:space="preserve"> din </w:t>
      </w:r>
      <w:proofErr w:type="spellStart"/>
      <w:r w:rsidRPr="00F81237">
        <w:rPr>
          <w:b/>
        </w:rPr>
        <w:t>Anexa</w:t>
      </w:r>
      <w:proofErr w:type="spellEnd"/>
      <w:r w:rsidRPr="00F81237">
        <w:rPr>
          <w:b/>
        </w:rPr>
        <w:t xml:space="preserve"> II din Reg. (UE) nr. </w:t>
      </w:r>
      <w:proofErr w:type="gramStart"/>
      <w:r w:rsidRPr="00F81237">
        <w:rPr>
          <w:b/>
        </w:rPr>
        <w:t>1305/2013.</w:t>
      </w:r>
      <w:proofErr w:type="gramEnd"/>
      <w:r w:rsidRPr="00F81237">
        <w:rPr>
          <w:b/>
        </w:rPr>
        <w:t xml:space="preserve">  </w:t>
      </w:r>
    </w:p>
    <w:p w:rsidR="000D33E8" w:rsidRDefault="000D33E8" w:rsidP="00F81237">
      <w:pPr>
        <w:spacing w:line="240" w:lineRule="auto"/>
      </w:pPr>
      <w:proofErr w:type="spellStart"/>
      <w:r>
        <w:t>Dispoziţii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</w:p>
    <w:p w:rsidR="00050C3A" w:rsidRDefault="000D33E8" w:rsidP="00F81237">
      <w:pPr>
        <w:spacing w:line="240" w:lineRule="auto"/>
      </w:pPr>
      <w:proofErr w:type="spellStart"/>
      <w:r>
        <w:t>Cheltuieli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din:</w:t>
      </w:r>
    </w:p>
    <w:p w:rsidR="00F81237" w:rsidRDefault="000D33E8" w:rsidP="00F81237">
      <w:pPr>
        <w:spacing w:line="240" w:lineRule="auto"/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 xml:space="preserve"> Cap. 8.1 din PNDR 2014-2020 – </w:t>
      </w:r>
      <w:proofErr w:type="spellStart"/>
      <w:r>
        <w:rPr>
          <w:rFonts w:ascii="Calibri" w:hAnsi="Calibri" w:cs="Calibri"/>
        </w:rPr>
        <w:t>Dispoziții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eligibilitatea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cheltuielilor</w:t>
      </w:r>
      <w:proofErr w:type="spellEnd"/>
      <w:r>
        <w:rPr>
          <w:rFonts w:ascii="Calibri" w:hAnsi="Calibri" w:cs="Calibri"/>
        </w:rPr>
        <w:t xml:space="preserve"> </w:t>
      </w:r>
    </w:p>
    <w:p w:rsidR="00F81237" w:rsidRDefault="000D33E8" w:rsidP="00F81237">
      <w:pPr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 H.G. nr.</w:t>
      </w:r>
      <w:proofErr w:type="gramEnd"/>
      <w:r>
        <w:rPr>
          <w:rFonts w:ascii="Calibri" w:hAnsi="Calibri" w:cs="Calibri"/>
        </w:rPr>
        <w:t xml:space="preserve"> 226/2015 - Art. 24 - </w:t>
      </w:r>
      <w:proofErr w:type="spellStart"/>
      <w:r>
        <w:rPr>
          <w:rFonts w:ascii="Calibri" w:hAnsi="Calibri" w:cs="Calibri"/>
        </w:rPr>
        <w:t>Reguli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măsura</w:t>
      </w:r>
      <w:proofErr w:type="spellEnd"/>
      <w:r>
        <w:rPr>
          <w:rFonts w:ascii="Calibri" w:hAnsi="Calibri" w:cs="Calibri"/>
        </w:rPr>
        <w:t xml:space="preserve"> 19 "</w:t>
      </w:r>
      <w:proofErr w:type="spellStart"/>
      <w:r>
        <w:rPr>
          <w:rFonts w:ascii="Calibri" w:hAnsi="Calibri" w:cs="Calibri"/>
        </w:rPr>
        <w:t>Dezvoltarea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locală</w:t>
      </w:r>
      <w:proofErr w:type="spellEnd"/>
      <w:r>
        <w:rPr>
          <w:rFonts w:ascii="Calibri" w:hAnsi="Calibri" w:cs="Calibri"/>
        </w:rPr>
        <w:t xml:space="preserve"> LEADER"; </w:t>
      </w:r>
    </w:p>
    <w:p w:rsidR="00F81237" w:rsidRDefault="000D33E8" w:rsidP="00F81237">
      <w:pPr>
        <w:spacing w:line="240" w:lineRule="auto"/>
      </w:pPr>
      <w:r>
        <w:rPr>
          <w:rFonts w:ascii="Calibri" w:hAnsi="Calibri" w:cs="Calibri"/>
        </w:rPr>
        <w:t></w:t>
      </w:r>
      <w:r>
        <w:t xml:space="preserve"> Schema de </w:t>
      </w:r>
      <w:proofErr w:type="spellStart"/>
      <w:r>
        <w:t>ajutor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 </w:t>
      </w:r>
      <w:proofErr w:type="gramStart"/>
      <w:r>
        <w:t>- ”</w:t>
      </w:r>
      <w:proofErr w:type="spellStart"/>
      <w:proofErr w:type="gramEnd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”, care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; </w:t>
      </w:r>
    </w:p>
    <w:p w:rsidR="00F81237" w:rsidRDefault="000D33E8" w:rsidP="00F81237">
      <w:pPr>
        <w:spacing w:line="240" w:lineRule="auto"/>
      </w:pPr>
      <w:proofErr w:type="gramStart"/>
      <w:r>
        <w:rPr>
          <w:rFonts w:ascii="Calibri" w:hAnsi="Calibri" w:cs="Calibri"/>
        </w:rPr>
        <w:t> R. (UE) nr.</w:t>
      </w:r>
      <w:proofErr w:type="gramEnd"/>
      <w:r>
        <w:rPr>
          <w:rFonts w:ascii="Calibri" w:hAnsi="Calibri" w:cs="Calibri"/>
        </w:rPr>
        <w:t xml:space="preserve"> 1305/2013 - art. </w:t>
      </w:r>
      <w:proofErr w:type="gramStart"/>
      <w:r>
        <w:rPr>
          <w:rFonts w:ascii="Calibri" w:hAnsi="Calibri" w:cs="Calibri"/>
        </w:rPr>
        <w:t xml:space="preserve">45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investițiile</w:t>
      </w:r>
      <w:proofErr w:type="spellEnd"/>
      <w:r>
        <w:rPr>
          <w:rFonts w:ascii="Calibri" w:hAnsi="Calibri" w:cs="Calibri"/>
        </w:rPr>
        <w:t>, art.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46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irigații</w:t>
      </w:r>
      <w:proofErr w:type="spellEnd"/>
      <w:r>
        <w:t>, art.</w:t>
      </w:r>
      <w:proofErr w:type="gramEnd"/>
      <w:r>
        <w:t xml:space="preserve"> </w:t>
      </w:r>
      <w:proofErr w:type="gramStart"/>
      <w:r>
        <w:t xml:space="preserve">60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specific </w:t>
      </w:r>
      <w:proofErr w:type="spellStart"/>
      <w:r>
        <w:t>prevederile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dezastre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>, art.</w:t>
      </w:r>
      <w:proofErr w:type="gramEnd"/>
      <w:r>
        <w:t xml:space="preserve"> </w:t>
      </w:r>
      <w:proofErr w:type="gramStart"/>
      <w:r>
        <w:t xml:space="preserve">61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, Cap.</w:t>
      </w:r>
      <w:proofErr w:type="gramEnd"/>
      <w:r>
        <w:t xml:space="preserve"> I – </w:t>
      </w:r>
      <w:proofErr w:type="spellStart"/>
      <w:r>
        <w:t>Măsuri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operațiuni</w:t>
      </w:r>
      <w:proofErr w:type="spellEnd"/>
      <w:r>
        <w:t xml:space="preserve"> </w:t>
      </w:r>
      <w:proofErr w:type="spellStart"/>
      <w:r>
        <w:t>sprijinite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din SDL); </w:t>
      </w:r>
    </w:p>
    <w:p w:rsidR="00F81237" w:rsidRDefault="000D33E8" w:rsidP="00F81237">
      <w:pPr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 R. </w:t>
      </w:r>
      <w:proofErr w:type="spellStart"/>
      <w:r>
        <w:rPr>
          <w:rFonts w:ascii="Calibri" w:hAnsi="Calibri" w:cs="Calibri"/>
        </w:rPr>
        <w:t>delegat</w:t>
      </w:r>
      <w:proofErr w:type="spellEnd"/>
      <w:r>
        <w:rPr>
          <w:rFonts w:ascii="Calibri" w:hAnsi="Calibri" w:cs="Calibri"/>
        </w:rPr>
        <w:t xml:space="preserve"> (UE) nr.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807/2014 de </w:t>
      </w:r>
      <w:proofErr w:type="spellStart"/>
      <w:r>
        <w:rPr>
          <w:rFonts w:ascii="Calibri" w:hAnsi="Calibri" w:cs="Calibri"/>
        </w:rPr>
        <w:t>completare</w:t>
      </w:r>
      <w:proofErr w:type="spellEnd"/>
      <w:r>
        <w:rPr>
          <w:rFonts w:ascii="Calibri" w:hAnsi="Calibri" w:cs="Calibri"/>
        </w:rPr>
        <w:t xml:space="preserve"> a R. (UE) nr.</w:t>
      </w:r>
      <w:proofErr w:type="gramEnd"/>
      <w:r>
        <w:rPr>
          <w:rFonts w:ascii="Calibri" w:hAnsi="Calibri" w:cs="Calibri"/>
        </w:rPr>
        <w:t xml:space="preserve"> 1305/2013 – art. 13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investițiile</w:t>
      </w:r>
      <w:proofErr w:type="spellEnd"/>
      <w:r>
        <w:rPr>
          <w:rFonts w:ascii="Calibri" w:hAnsi="Calibri" w:cs="Calibri"/>
        </w:rPr>
        <w:t xml:space="preserve">; </w:t>
      </w:r>
    </w:p>
    <w:p w:rsidR="000D33E8" w:rsidRDefault="000D33E8" w:rsidP="00F81237">
      <w:pPr>
        <w:spacing w:line="240" w:lineRule="auto"/>
      </w:pPr>
      <w:proofErr w:type="gramStart"/>
      <w:r>
        <w:rPr>
          <w:rFonts w:ascii="Calibri" w:hAnsi="Calibri" w:cs="Calibri"/>
        </w:rPr>
        <w:t> R. (UE) nr.</w:t>
      </w:r>
      <w:proofErr w:type="gramEnd"/>
      <w:r>
        <w:rPr>
          <w:rFonts w:ascii="Calibri" w:hAnsi="Calibri" w:cs="Calibri"/>
        </w:rPr>
        <w:t xml:space="preserve"> 1303/2013 – art. 6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conformitatea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dreptul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Uniunii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legislaţia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naţională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Tit</w:t>
      </w:r>
      <w:r>
        <w:t>lul</w:t>
      </w:r>
      <w:proofErr w:type="spellEnd"/>
      <w:r>
        <w:t xml:space="preserve"> IV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al R. 1303/2013 (art. 37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instrumenele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art. 42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la </w:t>
      </w:r>
      <w:proofErr w:type="spellStart"/>
      <w:r>
        <w:t>închidere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Cap. III al </w:t>
      </w:r>
      <w:proofErr w:type="spellStart"/>
      <w:r>
        <w:t>Titlului</w:t>
      </w:r>
      <w:proofErr w:type="spellEnd"/>
      <w:r>
        <w:t xml:space="preserve"> VII al R. 1303/2013  (art. 65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, art. 66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formele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, art. 67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granturi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rambursabilă</w:t>
      </w:r>
      <w:proofErr w:type="spellEnd"/>
      <w:r>
        <w:t xml:space="preserve">, art. 68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forfetară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indirecte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cu </w:t>
      </w:r>
      <w:proofErr w:type="spellStart"/>
      <w:r>
        <w:t>personalul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granturile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asistența</w:t>
      </w:r>
      <w:proofErr w:type="spellEnd"/>
      <w:r>
        <w:t xml:space="preserve"> </w:t>
      </w:r>
      <w:proofErr w:type="spellStart"/>
      <w:r>
        <w:t>rambursabilă</w:t>
      </w:r>
      <w:proofErr w:type="spellEnd"/>
      <w:r>
        <w:t xml:space="preserve">, art. 69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de </w:t>
      </w:r>
      <w:proofErr w:type="spellStart"/>
      <w:r>
        <w:t>eligibilitate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granturi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rambursabilă</w:t>
      </w:r>
      <w:proofErr w:type="spellEnd"/>
      <w:r>
        <w:t xml:space="preserve">, art. 70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operațiunilor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localizare</w:t>
      </w:r>
      <w:proofErr w:type="spellEnd"/>
      <w:r>
        <w:t xml:space="preserve">, art. 71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caracterul</w:t>
      </w:r>
      <w:proofErr w:type="spellEnd"/>
      <w:r>
        <w:t xml:space="preserve"> </w:t>
      </w:r>
      <w:proofErr w:type="spellStart"/>
      <w:r>
        <w:t>durabil</w:t>
      </w:r>
      <w:proofErr w:type="spellEnd"/>
      <w:r>
        <w:t xml:space="preserve"> al </w:t>
      </w:r>
      <w:proofErr w:type="spellStart"/>
      <w:r>
        <w:t>operațiunilor</w:t>
      </w:r>
      <w:proofErr w:type="spellEnd"/>
      <w:r>
        <w:t xml:space="preserve">). </w:t>
      </w:r>
    </w:p>
    <w:p w:rsidR="000D33E8" w:rsidRPr="00F81237" w:rsidRDefault="000D33E8" w:rsidP="00F81237">
      <w:pPr>
        <w:spacing w:line="240" w:lineRule="auto"/>
        <w:rPr>
          <w:b/>
        </w:rPr>
      </w:pPr>
      <w:proofErr w:type="spellStart"/>
      <w:r w:rsidRPr="00F81237">
        <w:rPr>
          <w:b/>
          <w:highlight w:val="yellow"/>
        </w:rPr>
        <w:t>Cheltuielile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eligibile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specifice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fiecărei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masuri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vor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respecta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prevederile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fișei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măsurii</w:t>
      </w:r>
      <w:proofErr w:type="spellEnd"/>
      <w:r w:rsidRPr="00F81237">
        <w:rPr>
          <w:b/>
          <w:highlight w:val="yellow"/>
        </w:rPr>
        <w:t xml:space="preserve"> din SDL </w:t>
      </w:r>
      <w:proofErr w:type="spellStart"/>
      <w:r w:rsidRPr="00F81237">
        <w:rPr>
          <w:b/>
          <w:highlight w:val="yellow"/>
        </w:rPr>
        <w:t>aprobată</w:t>
      </w:r>
      <w:proofErr w:type="spellEnd"/>
      <w:r w:rsidRPr="00F81237">
        <w:rPr>
          <w:b/>
          <w:highlight w:val="yellow"/>
        </w:rPr>
        <w:t xml:space="preserve"> de </w:t>
      </w:r>
      <w:proofErr w:type="spellStart"/>
      <w:r w:rsidRPr="00F81237">
        <w:rPr>
          <w:b/>
          <w:highlight w:val="yellow"/>
        </w:rPr>
        <w:t>către</w:t>
      </w:r>
      <w:proofErr w:type="spellEnd"/>
      <w:r w:rsidRPr="00F81237">
        <w:rPr>
          <w:b/>
          <w:highlight w:val="yellow"/>
        </w:rPr>
        <w:t xml:space="preserve"> AM PNDR. </w:t>
      </w:r>
      <w:proofErr w:type="spellStart"/>
      <w:proofErr w:type="gramStart"/>
      <w:r w:rsidRPr="00F81237">
        <w:rPr>
          <w:b/>
          <w:highlight w:val="yellow"/>
        </w:rPr>
        <w:t>Tipurile</w:t>
      </w:r>
      <w:proofErr w:type="spellEnd"/>
      <w:r w:rsidRPr="00F81237">
        <w:rPr>
          <w:b/>
          <w:highlight w:val="yellow"/>
        </w:rPr>
        <w:t xml:space="preserve"> de </w:t>
      </w:r>
      <w:proofErr w:type="spellStart"/>
      <w:r w:rsidRPr="00F81237">
        <w:rPr>
          <w:b/>
          <w:highlight w:val="yellow"/>
        </w:rPr>
        <w:t>cheltuieli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eligibile</w:t>
      </w:r>
      <w:proofErr w:type="spellEnd"/>
      <w:r w:rsidRPr="00F81237">
        <w:rPr>
          <w:b/>
          <w:highlight w:val="yellow"/>
        </w:rPr>
        <w:t xml:space="preserve"> se </w:t>
      </w:r>
      <w:proofErr w:type="spellStart"/>
      <w:r w:rsidRPr="00F81237">
        <w:rPr>
          <w:b/>
          <w:highlight w:val="yellow"/>
        </w:rPr>
        <w:t>vor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raporta</w:t>
      </w:r>
      <w:proofErr w:type="spellEnd"/>
      <w:r w:rsidRPr="00F81237">
        <w:rPr>
          <w:b/>
          <w:highlight w:val="yellow"/>
        </w:rPr>
        <w:t xml:space="preserve"> la </w:t>
      </w:r>
      <w:proofErr w:type="spellStart"/>
      <w:r w:rsidRPr="00F81237">
        <w:rPr>
          <w:b/>
          <w:highlight w:val="yellow"/>
        </w:rPr>
        <w:t>tipurile</w:t>
      </w:r>
      <w:proofErr w:type="spellEnd"/>
      <w:r w:rsidRPr="00F81237">
        <w:rPr>
          <w:b/>
          <w:highlight w:val="yellow"/>
        </w:rPr>
        <w:t xml:space="preserve"> de </w:t>
      </w:r>
      <w:proofErr w:type="spellStart"/>
      <w:r w:rsidRPr="00F81237">
        <w:rPr>
          <w:b/>
          <w:highlight w:val="yellow"/>
        </w:rPr>
        <w:t>investiții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eligibile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aferente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măsurii</w:t>
      </w:r>
      <w:proofErr w:type="spellEnd"/>
      <w:r w:rsidRPr="00F81237">
        <w:rPr>
          <w:b/>
          <w:highlight w:val="yellow"/>
        </w:rPr>
        <w:t>.</w:t>
      </w:r>
      <w:proofErr w:type="gramEnd"/>
      <w:r w:rsidRPr="00F81237">
        <w:rPr>
          <w:b/>
        </w:rPr>
        <w:t xml:space="preserve">   </w:t>
      </w:r>
    </w:p>
    <w:p w:rsidR="000D33E8" w:rsidRPr="00F81237" w:rsidRDefault="000D33E8" w:rsidP="00F81237">
      <w:pPr>
        <w:spacing w:line="240" w:lineRule="auto"/>
        <w:rPr>
          <w:b/>
        </w:rPr>
      </w:pPr>
      <w:proofErr w:type="spellStart"/>
      <w:r w:rsidRPr="00F81237">
        <w:rPr>
          <w:b/>
          <w:highlight w:val="yellow"/>
        </w:rPr>
        <w:t>Atenție</w:t>
      </w:r>
      <w:proofErr w:type="spellEnd"/>
      <w:r w:rsidRPr="00F81237">
        <w:rPr>
          <w:b/>
          <w:highlight w:val="yellow"/>
        </w:rPr>
        <w:t xml:space="preserve">! </w:t>
      </w:r>
      <w:proofErr w:type="spellStart"/>
      <w:r w:rsidRPr="00F81237">
        <w:rPr>
          <w:b/>
          <w:highlight w:val="yellow"/>
        </w:rPr>
        <w:t>Vor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fi</w:t>
      </w:r>
      <w:proofErr w:type="spellEnd"/>
      <w:r w:rsidRPr="00F81237">
        <w:rPr>
          <w:b/>
          <w:highlight w:val="yellow"/>
        </w:rPr>
        <w:t xml:space="preserve"> considerate </w:t>
      </w:r>
      <w:proofErr w:type="spellStart"/>
      <w:r w:rsidRPr="00F81237">
        <w:rPr>
          <w:b/>
          <w:highlight w:val="yellow"/>
        </w:rPr>
        <w:t>cheltuieli</w:t>
      </w:r>
      <w:proofErr w:type="spellEnd"/>
      <w:r w:rsidRPr="00F81237">
        <w:rPr>
          <w:b/>
          <w:highlight w:val="yellow"/>
        </w:rPr>
        <w:t xml:space="preserve"> eligible </w:t>
      </w:r>
      <w:proofErr w:type="spellStart"/>
      <w:r w:rsidRPr="00F81237">
        <w:rPr>
          <w:b/>
          <w:highlight w:val="yellow"/>
        </w:rPr>
        <w:t>doar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mijloacele</w:t>
      </w:r>
      <w:proofErr w:type="spellEnd"/>
      <w:r w:rsidRPr="00F81237">
        <w:rPr>
          <w:b/>
          <w:highlight w:val="yellow"/>
        </w:rPr>
        <w:t xml:space="preserve"> de transport </w:t>
      </w:r>
      <w:proofErr w:type="spellStart"/>
      <w:r w:rsidRPr="00F81237">
        <w:rPr>
          <w:b/>
          <w:highlight w:val="yellow"/>
        </w:rPr>
        <w:t>specializate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pentru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activitatea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proiectului</w:t>
      </w:r>
      <w:proofErr w:type="spellEnd"/>
      <w:r w:rsidRPr="00F81237">
        <w:rPr>
          <w:b/>
          <w:highlight w:val="yellow"/>
        </w:rPr>
        <w:t xml:space="preserve">. </w:t>
      </w:r>
      <w:proofErr w:type="spellStart"/>
      <w:r w:rsidRPr="00F81237">
        <w:rPr>
          <w:b/>
          <w:highlight w:val="yellow"/>
        </w:rPr>
        <w:t>În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cazul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proiectelor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sociale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proofErr w:type="gramStart"/>
      <w:r w:rsidRPr="00F81237">
        <w:rPr>
          <w:b/>
          <w:highlight w:val="yellow"/>
        </w:rPr>
        <w:t>este</w:t>
      </w:r>
      <w:proofErr w:type="spellEnd"/>
      <w:proofErr w:type="gram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eligibilă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achiziționarea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microbuzelor</w:t>
      </w:r>
      <w:proofErr w:type="spellEnd"/>
      <w:r w:rsidRPr="00F81237">
        <w:rPr>
          <w:b/>
          <w:highlight w:val="yellow"/>
        </w:rPr>
        <w:t xml:space="preserve">, </w:t>
      </w:r>
      <w:proofErr w:type="spellStart"/>
      <w:r w:rsidRPr="00F81237">
        <w:rPr>
          <w:b/>
          <w:highlight w:val="yellow"/>
        </w:rPr>
        <w:t>corelat</w:t>
      </w:r>
      <w:proofErr w:type="spellEnd"/>
      <w:r w:rsidRPr="00F81237">
        <w:rPr>
          <w:b/>
          <w:highlight w:val="yellow"/>
        </w:rPr>
        <w:t xml:space="preserve"> cu </w:t>
      </w:r>
      <w:proofErr w:type="spellStart"/>
      <w:r w:rsidRPr="00F81237">
        <w:rPr>
          <w:b/>
          <w:highlight w:val="yellow"/>
        </w:rPr>
        <w:t>activitățile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propuse</w:t>
      </w:r>
      <w:proofErr w:type="spellEnd"/>
      <w:r w:rsidRPr="00F81237">
        <w:rPr>
          <w:b/>
          <w:highlight w:val="yellow"/>
        </w:rPr>
        <w:t>.</w:t>
      </w:r>
      <w:r w:rsidRPr="00F81237">
        <w:rPr>
          <w:b/>
        </w:rPr>
        <w:t xml:space="preserve">   </w:t>
      </w:r>
    </w:p>
    <w:p w:rsidR="000D33E8" w:rsidRPr="00F81237" w:rsidRDefault="000D33E8" w:rsidP="00F81237">
      <w:pPr>
        <w:spacing w:line="240" w:lineRule="auto"/>
        <w:rPr>
          <w:b/>
          <w:u w:val="single"/>
        </w:rPr>
      </w:pPr>
      <w:r w:rsidRPr="00F81237">
        <w:rPr>
          <w:b/>
          <w:u w:val="single"/>
        </w:rPr>
        <w:t xml:space="preserve">CHELTUIELI NEELIGIBILE </w:t>
      </w:r>
    </w:p>
    <w:p w:rsidR="000D33E8" w:rsidRPr="00F81237" w:rsidRDefault="000D33E8" w:rsidP="00F81237">
      <w:pPr>
        <w:spacing w:line="240" w:lineRule="auto"/>
        <w:rPr>
          <w:b/>
          <w:color w:val="FF0000"/>
        </w:rPr>
      </w:pPr>
      <w:r>
        <w:t xml:space="preserve"> </w:t>
      </w:r>
      <w:proofErr w:type="spellStart"/>
      <w:proofErr w:type="gramStart"/>
      <w:r w:rsidRPr="00F81237">
        <w:rPr>
          <w:b/>
          <w:color w:val="FF0000"/>
        </w:rPr>
        <w:t>Cheltuielile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neeligibile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vor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fi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suportate</w:t>
      </w:r>
      <w:proofErr w:type="spellEnd"/>
      <w:r w:rsidRPr="00F81237">
        <w:rPr>
          <w:b/>
          <w:color w:val="FF0000"/>
        </w:rPr>
        <w:t xml:space="preserve"> integral de </w:t>
      </w:r>
      <w:proofErr w:type="spellStart"/>
      <w:r w:rsidRPr="00F81237">
        <w:rPr>
          <w:b/>
          <w:color w:val="FF0000"/>
        </w:rPr>
        <w:t>către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beneficiarul</w:t>
      </w:r>
      <w:proofErr w:type="spellEnd"/>
      <w:r w:rsidRPr="00F81237">
        <w:rPr>
          <w:b/>
          <w:color w:val="FF0000"/>
        </w:rPr>
        <w:t xml:space="preserve"> </w:t>
      </w:r>
      <w:proofErr w:type="spellStart"/>
      <w:r w:rsidRPr="00F81237">
        <w:rPr>
          <w:b/>
          <w:color w:val="FF0000"/>
        </w:rPr>
        <w:t>finanțării</w:t>
      </w:r>
      <w:proofErr w:type="spellEnd"/>
      <w:r w:rsidRPr="00F81237">
        <w:rPr>
          <w:b/>
          <w:color w:val="FF0000"/>
        </w:rPr>
        <w:t>.</w:t>
      </w:r>
      <w:proofErr w:type="gramEnd"/>
      <w:r w:rsidRPr="00F81237">
        <w:rPr>
          <w:b/>
          <w:color w:val="FF0000"/>
        </w:rPr>
        <w:t xml:space="preserve"> </w:t>
      </w:r>
    </w:p>
    <w:p w:rsidR="000D33E8" w:rsidRDefault="000D33E8" w:rsidP="00F81237">
      <w:pPr>
        <w:spacing w:line="240" w:lineRule="auto"/>
      </w:pPr>
      <w:r>
        <w:t xml:space="preserve"> </w:t>
      </w:r>
      <w:proofErr w:type="gramStart"/>
      <w:r>
        <w:rPr>
          <w:rFonts w:ascii="Calibri" w:hAnsi="Calibri" w:cs="Calibri"/>
        </w:rPr>
        <w:t xml:space="preserve">  </w:t>
      </w:r>
      <w:proofErr w:type="spellStart"/>
      <w:r>
        <w:rPr>
          <w:rFonts w:ascii="Calibri" w:hAnsi="Calibri" w:cs="Calibri"/>
        </w:rPr>
        <w:t>În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cadrul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proiectului</w:t>
      </w:r>
      <w:proofErr w:type="spellEnd"/>
      <w:r>
        <w:rPr>
          <w:rFonts w:ascii="Calibri" w:hAnsi="Calibri" w:cs="Calibri"/>
        </w:rPr>
        <w:t xml:space="preserve"> nu pot </w:t>
      </w:r>
      <w:proofErr w:type="spellStart"/>
      <w:r>
        <w:rPr>
          <w:rFonts w:ascii="Calibri" w:hAnsi="Calibri" w:cs="Calibri"/>
        </w:rPr>
        <w:t>fi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incluse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operațiuni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asimilabile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Măsurilor</w:t>
      </w:r>
      <w:proofErr w:type="spellEnd"/>
      <w:r>
        <w:rPr>
          <w:rFonts w:ascii="Calibri" w:hAnsi="Calibri" w:cs="Calibri"/>
        </w:rPr>
        <w:t>/Sub-</w:t>
      </w:r>
      <w:proofErr w:type="spellStart"/>
      <w:r>
        <w:rPr>
          <w:rFonts w:ascii="Calibri" w:hAnsi="Calibri" w:cs="Calibri"/>
        </w:rPr>
        <w:t>măsurilor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excluse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finanțare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Submăsura</w:t>
      </w:r>
      <w:proofErr w:type="spellEnd"/>
      <w:r>
        <w:rPr>
          <w:rFonts w:ascii="Calibri" w:hAnsi="Calibri" w:cs="Calibri"/>
        </w:rPr>
        <w:t xml:space="preserve"> 19.2,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conformitate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prevederile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fișei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tehnice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acestei</w:t>
      </w:r>
      <w:proofErr w:type="spellEnd"/>
      <w:r>
        <w:rPr>
          <w:rFonts w:ascii="Calibri" w:hAnsi="Calibri" w:cs="Calibri"/>
        </w:rPr>
        <w:t xml:space="preserve"> Sub-</w:t>
      </w:r>
      <w:proofErr w:type="spellStart"/>
      <w:r>
        <w:rPr>
          <w:rFonts w:ascii="Calibri" w:hAnsi="Calibri" w:cs="Calibri"/>
        </w:rPr>
        <w:t>măsuri</w:t>
      </w:r>
      <w:proofErr w:type="spellEnd"/>
      <w:r>
        <w:rPr>
          <w:rFonts w:ascii="Calibri" w:hAnsi="Calibri" w:cs="Calibri"/>
        </w:rPr>
        <w:t xml:space="preserve">. </w:t>
      </w:r>
    </w:p>
    <w:p w:rsidR="000D33E8" w:rsidRDefault="000D33E8" w:rsidP="00F81237">
      <w:pPr>
        <w:spacing w:line="240" w:lineRule="auto"/>
      </w:pPr>
      <w:r>
        <w:t xml:space="preserve"> Conform </w:t>
      </w:r>
      <w:proofErr w:type="spellStart"/>
      <w:r>
        <w:t>fișei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a </w:t>
      </w:r>
      <w:proofErr w:type="spellStart"/>
      <w:r>
        <w:t>Submăsurii</w:t>
      </w:r>
      <w:proofErr w:type="spellEnd"/>
      <w:r>
        <w:t xml:space="preserve"> 19.2, </w:t>
      </w:r>
      <w:proofErr w:type="spellStart"/>
      <w:r>
        <w:t>prin</w:t>
      </w:r>
      <w:proofErr w:type="spellEnd"/>
      <w:r>
        <w:t xml:space="preserve"> LEADER nu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operațiuni</w:t>
      </w:r>
      <w:proofErr w:type="spellEnd"/>
      <w:r>
        <w:t xml:space="preserve">: a)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schimburi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exploatațiilor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pădurilor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vizite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exploatații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păduri</w:t>
      </w:r>
      <w:proofErr w:type="spellEnd"/>
      <w:r>
        <w:t xml:space="preserve"> (Art. 14/ Reg. (UE) 1305/2013, </w:t>
      </w:r>
      <w:proofErr w:type="spellStart"/>
      <w:r>
        <w:t>prevede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>.(1) „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schimburi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exploatației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pădurilor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vizite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exploatații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păduri</w:t>
      </w:r>
      <w:proofErr w:type="spellEnd"/>
      <w:r>
        <w:t xml:space="preserve">”); b)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consiliere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exploatației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înlocuire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exploatației</w:t>
      </w:r>
      <w:proofErr w:type="spellEnd"/>
      <w:r>
        <w:t xml:space="preserve"> (Art. 15/ Reg. (UE) 1305/2013); c) </w:t>
      </w:r>
      <w:proofErr w:type="spellStart"/>
      <w:r>
        <w:t>Investiții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zonelor</w:t>
      </w:r>
      <w:proofErr w:type="spellEnd"/>
      <w:r>
        <w:t xml:space="preserve"> </w:t>
      </w:r>
      <w:proofErr w:type="spellStart"/>
      <w:r>
        <w:t>forestiere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ameliorarea</w:t>
      </w:r>
      <w:proofErr w:type="spellEnd"/>
      <w:r>
        <w:t xml:space="preserve"> </w:t>
      </w:r>
      <w:proofErr w:type="spellStart"/>
      <w:r>
        <w:t>viabilității</w:t>
      </w:r>
      <w:proofErr w:type="spellEnd"/>
      <w:r>
        <w:t xml:space="preserve"> </w:t>
      </w:r>
      <w:proofErr w:type="spellStart"/>
      <w:r>
        <w:t>pădurilor</w:t>
      </w:r>
      <w:proofErr w:type="spellEnd"/>
      <w:r>
        <w:t xml:space="preserve"> (Art. 21 (a)/ Reg. (UE)  1305/2013); d) </w:t>
      </w:r>
      <w:proofErr w:type="spellStart"/>
      <w:r>
        <w:t>Plățile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agromediu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climă</w:t>
      </w:r>
      <w:proofErr w:type="spellEnd"/>
      <w:r>
        <w:t xml:space="preserve"> (Art. 28/ Reg. (UE) 1305/2013); e) </w:t>
      </w:r>
      <w:proofErr w:type="spellStart"/>
      <w:r>
        <w:t>Agricultură</w:t>
      </w:r>
      <w:proofErr w:type="spellEnd"/>
      <w:r>
        <w:t xml:space="preserve"> </w:t>
      </w:r>
      <w:proofErr w:type="spellStart"/>
      <w:r>
        <w:t>ecologică</w:t>
      </w:r>
      <w:proofErr w:type="spellEnd"/>
      <w:r>
        <w:t xml:space="preserve"> (Art. 29/Reg. (UE) 1305/2013); f) </w:t>
      </w:r>
      <w:proofErr w:type="spellStart"/>
      <w:r>
        <w:t>Plăți</w:t>
      </w:r>
      <w:proofErr w:type="spellEnd"/>
      <w:r>
        <w:t xml:space="preserve"> </w:t>
      </w:r>
      <w:proofErr w:type="spellStart"/>
      <w:r>
        <w:t>Natura</w:t>
      </w:r>
      <w:proofErr w:type="spellEnd"/>
      <w:r>
        <w:t xml:space="preserve"> 2000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plăți</w:t>
      </w:r>
      <w:proofErr w:type="spellEnd"/>
      <w:r>
        <w:t xml:space="preserve"> legate de </w:t>
      </w:r>
      <w:proofErr w:type="spellStart"/>
      <w:r>
        <w:t>Directiva-cadru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(Art. 30/ Reg. (UE) 1305/2013); g) </w:t>
      </w:r>
      <w:proofErr w:type="spellStart"/>
      <w:r>
        <w:t>Plăți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zone care se </w:t>
      </w:r>
      <w:proofErr w:type="spellStart"/>
      <w:r>
        <w:t>confruntă</w:t>
      </w:r>
      <w:proofErr w:type="spellEnd"/>
      <w:r>
        <w:t xml:space="preserve"> cu </w:t>
      </w:r>
      <w:proofErr w:type="spellStart"/>
      <w:r>
        <w:t>constrângeri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constrângeri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(Art. 31/ Reg. (UE) 1305/2013); h) </w:t>
      </w:r>
      <w:proofErr w:type="spellStart"/>
      <w:r>
        <w:t>Plățile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bunăstarea</w:t>
      </w:r>
      <w:proofErr w:type="spellEnd"/>
      <w:r>
        <w:t xml:space="preserve"> </w:t>
      </w:r>
      <w:proofErr w:type="spellStart"/>
      <w:r>
        <w:t>animalelor</w:t>
      </w:r>
      <w:proofErr w:type="spellEnd"/>
      <w:r>
        <w:t xml:space="preserve"> (Art. 33/ Reg. (UE) 1305/2013); </w:t>
      </w:r>
      <w:proofErr w:type="spellStart"/>
      <w:r>
        <w:t>i</w:t>
      </w:r>
      <w:proofErr w:type="spellEnd"/>
      <w:r>
        <w:t xml:space="preserve">)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silvomediu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pădurilor</w:t>
      </w:r>
      <w:proofErr w:type="spellEnd"/>
      <w:r>
        <w:t xml:space="preserve"> (Art. 34/Reg. (UE) 1305/2013); j)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(Art. 36 -39/ Reg. (UE) 1305/2013). </w:t>
      </w:r>
    </w:p>
    <w:p w:rsidR="000D33E8" w:rsidRDefault="000D33E8" w:rsidP="00F81237">
      <w:pPr>
        <w:spacing w:line="240" w:lineRule="auto"/>
      </w:pPr>
      <w:r>
        <w:lastRenderedPageBreak/>
        <w:t xml:space="preserve"> </w:t>
      </w:r>
      <w:r>
        <w:rPr>
          <w:rFonts w:ascii="Calibri" w:hAnsi="Calibri" w:cs="Calibri"/>
        </w:rPr>
        <w:t xml:space="preserve">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cadrul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proiectului</w:t>
      </w:r>
      <w:proofErr w:type="spellEnd"/>
      <w:r>
        <w:rPr>
          <w:rFonts w:ascii="Calibri" w:hAnsi="Calibri" w:cs="Calibri"/>
        </w:rPr>
        <w:t xml:space="preserve"> nu pot </w:t>
      </w:r>
      <w:proofErr w:type="spellStart"/>
      <w:r>
        <w:rPr>
          <w:rFonts w:ascii="Calibri" w:hAnsi="Calibri" w:cs="Calibri"/>
        </w:rPr>
        <w:t>fi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incluse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cheltuieli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neeligibile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generale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așa</w:t>
      </w:r>
      <w:proofErr w:type="spellEnd"/>
      <w:r>
        <w:rPr>
          <w:rFonts w:ascii="Calibri" w:hAnsi="Calibri" w:cs="Calibri"/>
        </w:rPr>
        <w:t xml:space="preserve"> cum </w:t>
      </w:r>
      <w:proofErr w:type="spellStart"/>
      <w:r>
        <w:rPr>
          <w:rFonts w:ascii="Calibri" w:hAnsi="Calibri" w:cs="Calibri"/>
        </w:rPr>
        <w:t>sunt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prevăzute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Cap. </w:t>
      </w:r>
      <w:proofErr w:type="gramStart"/>
      <w:r>
        <w:rPr>
          <w:rFonts w:ascii="Calibri" w:hAnsi="Calibri" w:cs="Calibri"/>
        </w:rPr>
        <w:t>8.1 al PNDR 2014 – 2020.</w:t>
      </w:r>
      <w:proofErr w:type="gramEnd"/>
      <w:r>
        <w:rPr>
          <w:rFonts w:ascii="Calibri" w:hAnsi="Calibri" w:cs="Calibri"/>
        </w:rPr>
        <w:t xml:space="preserve"> </w:t>
      </w:r>
    </w:p>
    <w:p w:rsidR="00F81237" w:rsidRPr="00F81237" w:rsidRDefault="000D33E8" w:rsidP="00F81237">
      <w:pPr>
        <w:spacing w:line="240" w:lineRule="auto"/>
        <w:rPr>
          <w:b/>
          <w:u w:val="single"/>
        </w:rPr>
      </w:pPr>
      <w:r>
        <w:t xml:space="preserve"> </w:t>
      </w:r>
      <w:proofErr w:type="spellStart"/>
      <w:r w:rsidRPr="00F81237">
        <w:rPr>
          <w:b/>
          <w:u w:val="single"/>
        </w:rPr>
        <w:t>Cheltuielile</w:t>
      </w:r>
      <w:proofErr w:type="spellEnd"/>
      <w:r w:rsidRPr="00F81237">
        <w:rPr>
          <w:b/>
          <w:u w:val="single"/>
        </w:rPr>
        <w:t xml:space="preserve"> </w:t>
      </w:r>
      <w:proofErr w:type="spellStart"/>
      <w:r w:rsidRPr="00F81237">
        <w:rPr>
          <w:b/>
          <w:u w:val="single"/>
        </w:rPr>
        <w:t>neeligibile</w:t>
      </w:r>
      <w:proofErr w:type="spellEnd"/>
      <w:r w:rsidRPr="00F81237">
        <w:rPr>
          <w:b/>
          <w:u w:val="single"/>
        </w:rPr>
        <w:t xml:space="preserve"> </w:t>
      </w:r>
      <w:proofErr w:type="spellStart"/>
      <w:r w:rsidRPr="00F81237">
        <w:rPr>
          <w:b/>
          <w:u w:val="single"/>
        </w:rPr>
        <w:t>generale</w:t>
      </w:r>
      <w:proofErr w:type="spellEnd"/>
      <w:r w:rsidRPr="00F81237">
        <w:rPr>
          <w:b/>
          <w:u w:val="single"/>
        </w:rPr>
        <w:t xml:space="preserve">, conform </w:t>
      </w:r>
      <w:proofErr w:type="spellStart"/>
      <w:r w:rsidRPr="00F81237">
        <w:rPr>
          <w:b/>
          <w:u w:val="single"/>
        </w:rPr>
        <w:t>prevederilor</w:t>
      </w:r>
      <w:proofErr w:type="spellEnd"/>
      <w:r w:rsidRPr="00F81237">
        <w:rPr>
          <w:b/>
          <w:u w:val="single"/>
        </w:rPr>
        <w:t xml:space="preserve"> din Cap.8.1 din </w:t>
      </w:r>
      <w:proofErr w:type="gramStart"/>
      <w:r w:rsidRPr="00F81237">
        <w:rPr>
          <w:b/>
          <w:u w:val="single"/>
        </w:rPr>
        <w:t xml:space="preserve">PNDR  </w:t>
      </w:r>
      <w:proofErr w:type="spellStart"/>
      <w:r w:rsidRPr="00F81237">
        <w:rPr>
          <w:b/>
          <w:u w:val="single"/>
        </w:rPr>
        <w:t>sunt</w:t>
      </w:r>
      <w:proofErr w:type="spellEnd"/>
      <w:proofErr w:type="gramEnd"/>
      <w:r w:rsidRPr="00F81237">
        <w:rPr>
          <w:b/>
          <w:u w:val="single"/>
        </w:rPr>
        <w:t xml:space="preserve">: </w:t>
      </w:r>
    </w:p>
    <w:p w:rsidR="00F81237" w:rsidRDefault="000D33E8" w:rsidP="00F81237">
      <w:pPr>
        <w:spacing w:line="240" w:lineRule="auto"/>
      </w:pPr>
      <w:r>
        <w:t xml:space="preserve">• </w:t>
      </w:r>
      <w:proofErr w:type="spellStart"/>
      <w:r>
        <w:t>cheltuielile</w:t>
      </w:r>
      <w:proofErr w:type="spellEnd"/>
      <w:r>
        <w:t xml:space="preserve"> cu </w:t>
      </w:r>
      <w:proofErr w:type="spellStart"/>
      <w:r>
        <w:t>achiziţionarea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echipamente</w:t>
      </w:r>
      <w:proofErr w:type="spellEnd"/>
      <w:r>
        <w:t xml:space="preserve"> ”</w:t>
      </w:r>
      <w:proofErr w:type="gramEnd"/>
      <w:r>
        <w:t xml:space="preserve">second hand”; </w:t>
      </w:r>
    </w:p>
    <w:p w:rsidR="00F81237" w:rsidRDefault="000D33E8" w:rsidP="00F81237">
      <w:pPr>
        <w:spacing w:line="240" w:lineRule="auto"/>
      </w:pPr>
      <w:r>
        <w:t xml:space="preserve">• </w:t>
      </w:r>
      <w:proofErr w:type="spellStart"/>
      <w:proofErr w:type="gramStart"/>
      <w:r>
        <w:t>cheltuieli</w:t>
      </w:r>
      <w:proofErr w:type="spellEnd"/>
      <w:proofErr w:type="gram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cu </w:t>
      </w:r>
      <w:proofErr w:type="spellStart"/>
      <w:r>
        <w:t>excepţia</w:t>
      </w:r>
      <w:proofErr w:type="spellEnd"/>
      <w:r>
        <w:t xml:space="preserve">: - </w:t>
      </w:r>
      <w:proofErr w:type="spellStart"/>
      <w:r>
        <w:t>costurilor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definite la art. </w:t>
      </w:r>
      <w:proofErr w:type="gramStart"/>
      <w:r>
        <w:t xml:space="preserve">45,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(2) </w:t>
      </w:r>
      <w:proofErr w:type="spellStart"/>
      <w:proofErr w:type="gramStart"/>
      <w:r>
        <w:t>litera</w:t>
      </w:r>
      <w:proofErr w:type="spellEnd"/>
      <w:proofErr w:type="gramEnd"/>
      <w:r>
        <w:t xml:space="preserve"> c) a Reg. (UE) nr. 1305/2013 care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; -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care </w:t>
      </w:r>
      <w:proofErr w:type="spellStart"/>
      <w:r>
        <w:t>presupun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înființare</w:t>
      </w:r>
      <w:proofErr w:type="spellEnd"/>
      <w:r>
        <w:t>/</w:t>
      </w:r>
      <w:proofErr w:type="spellStart"/>
      <w:r>
        <w:t>reconversie</w:t>
      </w:r>
      <w:proofErr w:type="spellEnd"/>
      <w:r>
        <w:t xml:space="preserve"> </w:t>
      </w:r>
      <w:proofErr w:type="spellStart"/>
      <w:r>
        <w:t>plantații</w:t>
      </w:r>
      <w:proofErr w:type="spellEnd"/>
      <w:r>
        <w:t xml:space="preserve"> </w:t>
      </w:r>
      <w:proofErr w:type="spellStart"/>
      <w:r>
        <w:t>pomicole</w:t>
      </w:r>
      <w:proofErr w:type="spellEnd"/>
      <w:proofErr w:type="gramStart"/>
      <w:r>
        <w:t>;  -</w:t>
      </w:r>
      <w:proofErr w:type="gram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care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art. 35 din Reg. (UE) nr. 1305/2013, care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conform art. 60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2) din Reg. (UE) nr. 1305/2013; </w:t>
      </w:r>
    </w:p>
    <w:p w:rsidR="00F81237" w:rsidRDefault="000D33E8" w:rsidP="00F81237">
      <w:pPr>
        <w:spacing w:line="240" w:lineRule="auto"/>
      </w:pPr>
      <w:r>
        <w:t xml:space="preserve">• </w:t>
      </w:r>
      <w:proofErr w:type="spellStart"/>
      <w:proofErr w:type="gramStart"/>
      <w:r>
        <w:t>cheltuieli</w:t>
      </w:r>
      <w:proofErr w:type="spellEnd"/>
      <w:proofErr w:type="gramEnd"/>
      <w:r>
        <w:t xml:space="preserve"> cu </w:t>
      </w:r>
      <w:proofErr w:type="spellStart"/>
      <w:r>
        <w:t>achiziția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de transport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transport </w:t>
      </w:r>
      <w:proofErr w:type="spellStart"/>
      <w:r>
        <w:t>persoane</w:t>
      </w:r>
      <w:proofErr w:type="spellEnd"/>
      <w:r>
        <w:t xml:space="preserve">; </w:t>
      </w:r>
    </w:p>
    <w:p w:rsidR="00F81237" w:rsidRDefault="000D33E8" w:rsidP="00F81237">
      <w:pPr>
        <w:spacing w:line="240" w:lineRule="auto"/>
      </w:pPr>
      <w:r>
        <w:t xml:space="preserve">• </w:t>
      </w:r>
      <w:proofErr w:type="spellStart"/>
      <w:proofErr w:type="gramStart"/>
      <w:r>
        <w:t>cheltuieli</w:t>
      </w:r>
      <w:proofErr w:type="spellEnd"/>
      <w:proofErr w:type="gramEnd"/>
      <w:r>
        <w:t xml:space="preserve"> cu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dublei</w:t>
      </w:r>
      <w:proofErr w:type="spellEnd"/>
      <w:r>
        <w:t xml:space="preserve"> </w:t>
      </w:r>
      <w:proofErr w:type="spellStart"/>
      <w:r>
        <w:t>finanțări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; </w:t>
      </w:r>
    </w:p>
    <w:p w:rsidR="00F81237" w:rsidRDefault="000D33E8" w:rsidP="00F81237">
      <w:pPr>
        <w:spacing w:line="240" w:lineRule="auto"/>
      </w:pPr>
      <w:r>
        <w:t xml:space="preserve">• </w:t>
      </w:r>
      <w:proofErr w:type="spellStart"/>
      <w:proofErr w:type="gramStart"/>
      <w:r>
        <w:t>cheltuieli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art. </w:t>
      </w:r>
      <w:proofErr w:type="gramStart"/>
      <w:r>
        <w:t xml:space="preserve">69,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(3) </w:t>
      </w:r>
      <w:proofErr w:type="gramStart"/>
      <w:r>
        <w:t>din</w:t>
      </w:r>
      <w:proofErr w:type="gramEnd"/>
      <w:r>
        <w:t xml:space="preserve"> Reg. (UE) nr. 1303/2013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: </w:t>
      </w:r>
    </w:p>
    <w:p w:rsidR="000D33E8" w:rsidRDefault="000D33E8" w:rsidP="00F81237">
      <w:pPr>
        <w:spacing w:line="240" w:lineRule="auto"/>
      </w:pPr>
      <w:proofErr w:type="gramStart"/>
      <w:r>
        <w:t>a</w:t>
      </w:r>
      <w:proofErr w:type="gramEnd"/>
      <w:r>
        <w:t xml:space="preserve">. </w:t>
      </w:r>
      <w:proofErr w:type="spellStart"/>
      <w:r w:rsidRPr="00F81237">
        <w:rPr>
          <w:b/>
        </w:rPr>
        <w:t>dobânzi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debitoare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granturi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sub forma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subvenţii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dobândă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subvenţii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comisioanele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;  </w:t>
      </w:r>
    </w:p>
    <w:p w:rsidR="00F81237" w:rsidRDefault="000D33E8" w:rsidP="00F81237">
      <w:pPr>
        <w:spacing w:line="240" w:lineRule="auto"/>
      </w:pPr>
      <w:r>
        <w:t xml:space="preserve"> </w:t>
      </w:r>
      <w:proofErr w:type="gramStart"/>
      <w:r>
        <w:t>b</w:t>
      </w:r>
      <w:proofErr w:type="gramEnd"/>
      <w:r>
        <w:t xml:space="preserve">. </w:t>
      </w:r>
      <w:proofErr w:type="spellStart"/>
      <w:r>
        <w:t>achiziţionarea</w:t>
      </w:r>
      <w:proofErr w:type="spellEnd"/>
      <w:r>
        <w:t xml:space="preserve"> de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construite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neconstruite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19 din Reg. (UE) nr. 1305/2013; </w:t>
      </w:r>
    </w:p>
    <w:p w:rsidR="00F81237" w:rsidRDefault="000D33E8" w:rsidP="00F81237">
      <w:pPr>
        <w:spacing w:line="240" w:lineRule="auto"/>
      </w:pPr>
      <w:proofErr w:type="gramStart"/>
      <w:r>
        <w:t>c</w:t>
      </w:r>
      <w:proofErr w:type="gramEnd"/>
      <w:r>
        <w:t xml:space="preserve">. </w:t>
      </w:r>
      <w:proofErr w:type="spellStart"/>
      <w:r w:rsidRPr="00F81237">
        <w:rPr>
          <w:b/>
        </w:rPr>
        <w:t>taxa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pe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valoarea</w:t>
      </w:r>
      <w:proofErr w:type="spellEnd"/>
      <w:r w:rsidRPr="00F81237">
        <w:rPr>
          <w:b/>
        </w:rPr>
        <w:t xml:space="preserve"> </w:t>
      </w:r>
      <w:proofErr w:type="spellStart"/>
      <w:r w:rsidRPr="00F81237">
        <w:rPr>
          <w:b/>
        </w:rPr>
        <w:t>adăugată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aceasta</w:t>
      </w:r>
      <w:proofErr w:type="spellEnd"/>
      <w:r>
        <w:t xml:space="preserve"> 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recupera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TVA-</w:t>
      </w:r>
      <w:proofErr w:type="spellStart"/>
      <w:r>
        <w:t>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>;</w:t>
      </w:r>
    </w:p>
    <w:p w:rsidR="000D33E8" w:rsidRDefault="000D33E8" w:rsidP="00F81237">
      <w:pPr>
        <w:spacing w:line="240" w:lineRule="auto"/>
      </w:pPr>
      <w:r>
        <w:t xml:space="preserve"> •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leasing,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legate de </w:t>
      </w:r>
      <w:proofErr w:type="spellStart"/>
      <w:r>
        <w:t>contractele</w:t>
      </w:r>
      <w:proofErr w:type="spellEnd"/>
      <w:r>
        <w:t xml:space="preserve"> de leasing, cum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marja</w:t>
      </w:r>
      <w:proofErr w:type="spellEnd"/>
      <w:r>
        <w:t xml:space="preserve"> </w:t>
      </w:r>
      <w:proofErr w:type="spellStart"/>
      <w:r>
        <w:t>locatorului</w:t>
      </w:r>
      <w:proofErr w:type="spellEnd"/>
      <w:r>
        <w:t xml:space="preserve">, </w:t>
      </w:r>
      <w:proofErr w:type="spellStart"/>
      <w:r>
        <w:t>costurile</w:t>
      </w:r>
      <w:proofErr w:type="spellEnd"/>
      <w:r>
        <w:t xml:space="preserve"> de </w:t>
      </w:r>
      <w:proofErr w:type="spellStart"/>
      <w:r>
        <w:t>refinanțare</w:t>
      </w:r>
      <w:proofErr w:type="spellEnd"/>
      <w:r>
        <w:t xml:space="preserve"> a </w:t>
      </w:r>
      <w:proofErr w:type="spellStart"/>
      <w:r>
        <w:t>dobânzilor</w:t>
      </w:r>
      <w:proofErr w:type="spellEnd"/>
      <w:r>
        <w:t xml:space="preserve">,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. </w:t>
      </w:r>
    </w:p>
    <w:p w:rsidR="000D33E8" w:rsidRPr="00F81237" w:rsidRDefault="000D33E8" w:rsidP="00F81237">
      <w:pPr>
        <w:spacing w:line="240" w:lineRule="auto"/>
        <w:rPr>
          <w:b/>
        </w:rPr>
      </w:pPr>
      <w:r>
        <w:t xml:space="preserve"> </w:t>
      </w:r>
      <w:proofErr w:type="spellStart"/>
      <w:r w:rsidRPr="00F81237">
        <w:rPr>
          <w:b/>
          <w:highlight w:val="yellow"/>
        </w:rPr>
        <w:t>Atenție</w:t>
      </w:r>
      <w:proofErr w:type="spellEnd"/>
      <w:r w:rsidRPr="00F81237">
        <w:rPr>
          <w:b/>
          <w:highlight w:val="yellow"/>
        </w:rPr>
        <w:t xml:space="preserve">! Nu </w:t>
      </w:r>
      <w:proofErr w:type="spellStart"/>
      <w:proofErr w:type="gramStart"/>
      <w:r w:rsidRPr="00F81237">
        <w:rPr>
          <w:b/>
          <w:highlight w:val="yellow"/>
        </w:rPr>
        <w:t>este</w:t>
      </w:r>
      <w:proofErr w:type="spellEnd"/>
      <w:proofErr w:type="gram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eligibilă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achiziționarea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utilajelor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agricole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în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cadrul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proiectelor</w:t>
      </w:r>
      <w:proofErr w:type="spellEnd"/>
      <w:r w:rsidRPr="00F81237">
        <w:rPr>
          <w:b/>
          <w:highlight w:val="yellow"/>
        </w:rPr>
        <w:t xml:space="preserve"> care </w:t>
      </w:r>
      <w:proofErr w:type="spellStart"/>
      <w:r w:rsidRPr="00F81237">
        <w:rPr>
          <w:b/>
          <w:highlight w:val="yellow"/>
        </w:rPr>
        <w:t>vizează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activități</w:t>
      </w:r>
      <w:proofErr w:type="spellEnd"/>
      <w:r w:rsidRPr="00F81237">
        <w:rPr>
          <w:b/>
          <w:highlight w:val="yellow"/>
        </w:rPr>
        <w:t xml:space="preserve"> </w:t>
      </w:r>
      <w:proofErr w:type="spellStart"/>
      <w:r w:rsidRPr="00F81237">
        <w:rPr>
          <w:b/>
          <w:highlight w:val="yellow"/>
        </w:rPr>
        <w:t>nonagricole</w:t>
      </w:r>
      <w:proofErr w:type="spellEnd"/>
      <w:r w:rsidRPr="00F81237">
        <w:rPr>
          <w:b/>
          <w:highlight w:val="yellow"/>
        </w:rPr>
        <w:t>.</w:t>
      </w:r>
      <w:r w:rsidRPr="00F81237">
        <w:rPr>
          <w:b/>
        </w:rPr>
        <w:t xml:space="preserve">  </w:t>
      </w:r>
    </w:p>
    <w:p w:rsidR="000D33E8" w:rsidRDefault="000D33E8" w:rsidP="00F81237">
      <w:pPr>
        <w:spacing w:line="240" w:lineRule="auto"/>
      </w:pPr>
      <w:r>
        <w:t xml:space="preserve"> </w:t>
      </w:r>
      <w:proofErr w:type="spellStart"/>
      <w:r>
        <w:t>Fondurile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eligibili</w:t>
      </w:r>
      <w:proofErr w:type="spellEnd"/>
      <w:r>
        <w:t xml:space="preserve">, conform </w:t>
      </w:r>
      <w:proofErr w:type="spellStart"/>
      <w:r>
        <w:t>listelor</w:t>
      </w:r>
      <w:proofErr w:type="spellEnd"/>
      <w:r>
        <w:t xml:space="preserve"> indicative de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din SDL. </w:t>
      </w:r>
    </w:p>
    <w:p w:rsidR="000D33E8" w:rsidRPr="00F81237" w:rsidRDefault="000D33E8" w:rsidP="00F81237">
      <w:pPr>
        <w:spacing w:line="240" w:lineRule="auto"/>
        <w:rPr>
          <w:color w:val="FF0000"/>
        </w:rPr>
      </w:pPr>
      <w:r>
        <w:t xml:space="preserve"> </w:t>
      </w:r>
      <w:proofErr w:type="spellStart"/>
      <w:r>
        <w:t>Atenție</w:t>
      </w:r>
      <w:proofErr w:type="spellEnd"/>
      <w:r>
        <w:t xml:space="preserve">!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complementaritatea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demarcarea</w:t>
      </w:r>
      <w:proofErr w:type="spellEnd"/>
      <w:r>
        <w:t xml:space="preserve"> </w:t>
      </w:r>
      <w:proofErr w:type="spellStart"/>
      <w:r>
        <w:t>operațiunilor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suprapuneri</w:t>
      </w:r>
      <w:proofErr w:type="spellEnd"/>
      <w:r>
        <w:t xml:space="preserve"> </w:t>
      </w:r>
      <w:proofErr w:type="spellStart"/>
      <w:r>
        <w:t>geografice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pescuit</w:t>
      </w:r>
      <w:proofErr w:type="spellEnd"/>
      <w:r>
        <w:t xml:space="preserve"> (FLAG) </w:t>
      </w:r>
      <w:proofErr w:type="spellStart"/>
      <w:r>
        <w:t>și</w:t>
      </w:r>
      <w:proofErr w:type="spellEnd"/>
      <w:r>
        <w:t xml:space="preserve"> un GAL, POPAM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finanța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pescărești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entitățile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piscicol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r w:rsidRPr="00F81237">
        <w:rPr>
          <w:color w:val="FF0000"/>
        </w:rPr>
        <w:t xml:space="preserve">PNDR nu </w:t>
      </w:r>
      <w:proofErr w:type="spellStart"/>
      <w:r w:rsidRPr="00F81237">
        <w:rPr>
          <w:color w:val="FF0000"/>
        </w:rPr>
        <w:t>va</w:t>
      </w:r>
      <w:proofErr w:type="spellEnd"/>
      <w:r w:rsidRPr="00F81237">
        <w:rPr>
          <w:color w:val="FF0000"/>
        </w:rPr>
        <w:t xml:space="preserve"> </w:t>
      </w:r>
      <w:proofErr w:type="spellStart"/>
      <w:r w:rsidRPr="00F81237">
        <w:rPr>
          <w:color w:val="FF0000"/>
        </w:rPr>
        <w:t>viza</w:t>
      </w:r>
      <w:proofErr w:type="spellEnd"/>
      <w:r w:rsidRPr="00F81237">
        <w:rPr>
          <w:color w:val="FF0000"/>
        </w:rPr>
        <w:t xml:space="preserve"> </w:t>
      </w:r>
      <w:proofErr w:type="spellStart"/>
      <w:r w:rsidRPr="00F81237">
        <w:rPr>
          <w:color w:val="FF0000"/>
        </w:rPr>
        <w:t>nicio</w:t>
      </w:r>
      <w:proofErr w:type="spellEnd"/>
      <w:r w:rsidRPr="00F81237">
        <w:rPr>
          <w:color w:val="FF0000"/>
        </w:rPr>
        <w:t xml:space="preserve"> </w:t>
      </w:r>
      <w:proofErr w:type="spellStart"/>
      <w:r w:rsidRPr="00F81237">
        <w:rPr>
          <w:color w:val="FF0000"/>
        </w:rPr>
        <w:t>investiție</w:t>
      </w:r>
      <w:proofErr w:type="spellEnd"/>
      <w:r w:rsidRPr="00F81237">
        <w:rPr>
          <w:color w:val="FF0000"/>
        </w:rPr>
        <w:t xml:space="preserve"> </w:t>
      </w:r>
      <w:proofErr w:type="spellStart"/>
      <w:r w:rsidRPr="00F81237">
        <w:rPr>
          <w:color w:val="FF0000"/>
        </w:rPr>
        <w:t>în</w:t>
      </w:r>
      <w:proofErr w:type="spellEnd"/>
      <w:r w:rsidRPr="00F81237">
        <w:rPr>
          <w:color w:val="FF0000"/>
        </w:rPr>
        <w:t xml:space="preserve"> </w:t>
      </w:r>
      <w:proofErr w:type="spellStart"/>
      <w:r w:rsidRPr="00F81237">
        <w:rPr>
          <w:color w:val="FF0000"/>
        </w:rPr>
        <w:t>acest</w:t>
      </w:r>
      <w:proofErr w:type="spellEnd"/>
      <w:r w:rsidRPr="00F81237">
        <w:rPr>
          <w:color w:val="FF0000"/>
        </w:rPr>
        <w:t xml:space="preserve"> sector.  </w:t>
      </w:r>
    </w:p>
    <w:p w:rsidR="009650D4" w:rsidRDefault="009650D4" w:rsidP="00F81237">
      <w:pPr>
        <w:spacing w:line="240" w:lineRule="auto"/>
      </w:pPr>
    </w:p>
    <w:sectPr w:rsidR="009650D4" w:rsidSect="00F812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D33E8"/>
    <w:rsid w:val="00050C3A"/>
    <w:rsid w:val="000D33E8"/>
    <w:rsid w:val="008B0B18"/>
    <w:rsid w:val="009650D4"/>
    <w:rsid w:val="00EE4905"/>
    <w:rsid w:val="00F8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0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1029</Words>
  <Characters>5871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</dc:creator>
  <cp:keywords/>
  <dc:description/>
  <cp:lastModifiedBy>Nicolle</cp:lastModifiedBy>
  <cp:revision>4</cp:revision>
  <dcterms:created xsi:type="dcterms:W3CDTF">2017-05-15T12:41:00Z</dcterms:created>
  <dcterms:modified xsi:type="dcterms:W3CDTF">2017-05-15T12:50:00Z</dcterms:modified>
</cp:coreProperties>
</file>